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edepgina"/>
        <w:tabs>
          <w:tab w:val="center" w:pos="4252" w:leader="none"/>
          <w:tab w:val="right" w:pos="8504" w:leader="none"/>
          <w:tab w:val="right" w:pos="9000" w:leader="none"/>
        </w:tabs>
        <w:ind w:right="71" w:hanging="0"/>
        <w:jc w:val="center"/>
        <w:rPr>
          <w:rFonts w:ascii="Calibri" w:hAnsi="Calibri" w:cs="Calibri"/>
          <w:b/>
          <w:b/>
          <w:bCs/>
          <w:color w:val="5F5F5F"/>
          <w:sz w:val="16"/>
          <w:szCs w:val="16"/>
        </w:rPr>
      </w:pPr>
      <w:r>
        <w:rPr>
          <w:rFonts w:cs="Calibri"/>
          <w:b/>
          <w:bCs/>
          <w:color w:val="5F5F5F"/>
          <w:sz w:val="16"/>
          <w:szCs w:val="16"/>
        </w:rPr>
      </w:r>
    </w:p>
    <w:p>
      <w:pPr>
        <w:pStyle w:val="Piedepgina"/>
        <w:tabs>
          <w:tab w:val="center" w:pos="4252" w:leader="none"/>
          <w:tab w:val="right" w:pos="8504" w:leader="none"/>
          <w:tab w:val="right" w:pos="9000" w:leader="none"/>
        </w:tabs>
        <w:ind w:right="71" w:hanging="0"/>
        <w:jc w:val="center"/>
        <w:rPr>
          <w:rFonts w:ascii="Calibri" w:hAnsi="Calibri" w:cs="Calibri"/>
          <w:b/>
          <w:b/>
          <w:bCs/>
          <w:color w:val="5F5F5F"/>
          <w:sz w:val="16"/>
          <w:szCs w:val="16"/>
        </w:rPr>
      </w:pPr>
      <w:r>
        <w:rPr>
          <w:rFonts w:cs="Calibri"/>
          <w:b/>
          <w:bCs/>
          <w:color w:val="5F5F5F"/>
          <w:sz w:val="16"/>
          <w:szCs w:val="16"/>
        </w:rPr>
      </w:r>
    </w:p>
    <w:p>
      <w:pPr>
        <w:pStyle w:val="Piedepgina"/>
        <w:tabs>
          <w:tab w:val="center" w:pos="4252" w:leader="none"/>
          <w:tab w:val="right" w:pos="8504" w:leader="none"/>
          <w:tab w:val="right" w:pos="9000" w:leader="none"/>
        </w:tabs>
        <w:ind w:right="71" w:hanging="0"/>
        <w:jc w:val="center"/>
        <w:rPr>
          <w:rFonts w:ascii="Calibri" w:hAnsi="Calibri" w:cs="Calibri"/>
          <w:b/>
          <w:b/>
          <w:bCs/>
          <w:color w:val="5F5F5F"/>
          <w:sz w:val="16"/>
          <w:szCs w:val="16"/>
        </w:rPr>
      </w:pPr>
      <w:r>
        <w:rPr>
          <w:rFonts w:cs="Calibri"/>
          <w:b/>
          <w:bCs/>
          <w:color w:val="5F5F5F"/>
          <w:sz w:val="16"/>
          <w:szCs w:val="16"/>
        </w:rPr>
      </w:r>
    </w:p>
    <w:p>
      <w:pPr>
        <w:pStyle w:val="Normal"/>
        <w:rPr/>
      </w:pPr>
      <w:r>
        <w:rPr/>
        <w:t>CONTRACTE DE COMODAT DE MATERIAL CINEMATOGRÀFIC O VIDEOGRÀFIC EFECTUAT PER MANUEL CASADO PUCHE EN REPRESENTACIÓ DE L’AJUNTAMENT DE L’ALFÀS DEL PI A FAVOR DE L’ INSTITUT VALENCIÀ DE CULTURA</w:t>
      </w:r>
    </w:p>
    <w:p>
      <w:pPr>
        <w:pStyle w:val="Normal"/>
        <w:rPr/>
      </w:pPr>
      <w:r>
        <w:rPr/>
        <w:t xml:space="preserve">                                                                                  </w:t>
      </w:r>
      <w:r>
        <w:rPr/>
        <w:t>A la ciutat de València, a 4 de maig  de 2023</w:t>
      </w:r>
    </w:p>
    <w:p>
      <w:pPr>
        <w:pStyle w:val="Normal"/>
        <w:rPr/>
      </w:pPr>
      <w:r>
        <w:rPr/>
        <w:t xml:space="preserve">                                                                          </w:t>
      </w:r>
    </w:p>
    <w:p>
      <w:pPr>
        <w:pStyle w:val="Normal"/>
        <w:rPr/>
      </w:pPr>
      <w:r>
        <w:rPr/>
        <w:t xml:space="preserve">                                                                         </w:t>
      </w:r>
      <w:r>
        <w:rPr/>
        <w:t>REUNITS</w:t>
      </w:r>
    </w:p>
    <w:p>
      <w:pPr>
        <w:pStyle w:val="Normal"/>
        <w:rPr/>
      </w:pPr>
      <w:r>
        <w:rPr/>
        <w:t xml:space="preserve">D'una part, </w:t>
      </w:r>
      <w:r>
        <w:rPr>
          <w:color w:val="000000"/>
        </w:rPr>
        <w:t>MANUEL CASADO PUCHE, amb DNI n.º 48304379D, en qualitat de Regidor de Cultura i Patrimoni y en representació de l’ Ajuntament de l'Alfàs del Pi amb CIF: P-0301100-D, amb domicili al carrer Federico García Lorca, 11, CP 03580, l'Alfàs del Pi, Alacant.</w:t>
      </w:r>
      <w:r>
        <w:rPr/>
        <w:t xml:space="preserve"> </w:t>
      </w:r>
    </w:p>
    <w:p>
      <w:pPr>
        <w:pStyle w:val="Normal"/>
        <w:rPr/>
      </w:pPr>
      <w:r>
        <w:rPr/>
        <w:t>I d'una altra part, ABELARDO GUARINOS VIÑOLES, qui intervé en qualitat de Director General en nom i representació de l’INSTITUT VALENCIÀ DE CULTURA (d'ara en avant IVC), Entitat de Dret Públic de la Generalitat, amb NIF Q-9655132-J i domicili fiscal a València (CP 46002), Plaza de l'Ajuntament 17. Actua en virtut de les competències conferides en l'article 8 del Decret 5/2013, de 4 de gener, del Consell, pel qual s'aprova el Reglament d'Organització i Funcionament de CulturArts Generalitat (actual IVC).</w:t>
      </w:r>
    </w:p>
    <w:p>
      <w:pPr>
        <w:pStyle w:val="Normal"/>
        <w:rPr/>
      </w:pPr>
      <w:r>
        <w:rPr/>
        <w:t>Totes dues parts es reconeixen la capacitat jurídica i d'obrar necessàries i suficients per a formalitzar el contracte actual que s'estableix conformement a les següents</w:t>
      </w:r>
    </w:p>
    <w:p>
      <w:pPr>
        <w:pStyle w:val="Normal"/>
        <w:rPr/>
      </w:pPr>
      <w:r>
        <w:rPr/>
        <w:t xml:space="preserve">                                                                     </w:t>
      </w:r>
      <w:r>
        <w:rPr/>
        <w:t>CLÀUSULES</w:t>
      </w:r>
    </w:p>
    <w:p>
      <w:pPr>
        <w:pStyle w:val="Normal"/>
        <w:rPr/>
      </w:pPr>
      <w:r>
        <w:rPr/>
        <w:t xml:space="preserve">Primera.-  </w:t>
      </w:r>
      <w:r>
        <w:rPr>
          <w:color w:val="000000"/>
        </w:rPr>
        <w:t>MANUEL CASADO PUCHE</w:t>
      </w:r>
      <w:r>
        <w:rPr/>
        <w:t>, en qualitat de comodant, lliura a l’IVC per al seu depòsit en les instal·lacions de l'Arxiu Fílmic de la Filmoteca situades al Parc Tecnològic, Carrer Leonardo da Vinci, núm. 20 de Paterna, el següent material cinematogràfic/ videogràfic:</w:t>
      </w:r>
    </w:p>
    <w:p>
      <w:pPr>
        <w:pStyle w:val="Encabezado3"/>
        <w:numPr>
          <w:ilvl w:val="0"/>
          <w:numId w:val="1"/>
        </w:numPr>
        <w:rPr>
          <w:rFonts w:cs="Arial"/>
          <w:b w:val="false"/>
          <w:b w:val="false"/>
          <w:bCs w:val="false"/>
          <w:szCs w:val="24"/>
        </w:rPr>
      </w:pPr>
      <w:r>
        <w:rPr>
          <w:rFonts w:cs="Calibri" w:ascii="Calibri" w:hAnsi="Calibri" w:asciiTheme="minorHAnsi" w:cstheme="minorHAnsi" w:hAnsiTheme="minorHAnsi"/>
          <w:b w:val="false"/>
          <w:sz w:val="22"/>
          <w:szCs w:val="22"/>
        </w:rPr>
        <w:t xml:space="preserve">Còpies en 35 mm de les </w:t>
      </w:r>
      <w:bookmarkStart w:id="0" w:name="_GoBack"/>
      <w:bookmarkEnd w:id="0"/>
      <w:r>
        <w:rPr>
          <w:rFonts w:cs="Calibri" w:ascii="Calibri" w:hAnsi="Calibri" w:asciiTheme="minorHAnsi" w:cstheme="minorHAnsi" w:hAnsiTheme="minorHAnsi"/>
          <w:b w:val="false"/>
          <w:sz w:val="22"/>
          <w:szCs w:val="22"/>
        </w:rPr>
        <w:t>produccions relacionades en l’annex adjunt</w:t>
      </w:r>
      <w:r>
        <w:rPr>
          <w:rFonts w:cs="Arial" w:ascii="Arial" w:hAnsi="Arial"/>
          <w:sz w:val="22"/>
          <w:szCs w:val="22"/>
        </w:rPr>
        <w:t>.</w:t>
      </w:r>
    </w:p>
    <w:p>
      <w:pPr>
        <w:pStyle w:val="Encabezado3"/>
        <w:ind w:left="720" w:hanging="0"/>
        <w:rPr>
          <w:rFonts w:cs="Arial"/>
          <w:b w:val="false"/>
          <w:b w:val="false"/>
          <w:bCs w:val="false"/>
          <w:szCs w:val="24"/>
        </w:rPr>
      </w:pPr>
      <w:r>
        <w:rPr>
          <w:rFonts w:cs="Arial"/>
          <w:b w:val="false"/>
          <w:bCs w:val="false"/>
          <w:szCs w:val="24"/>
        </w:rPr>
      </w:r>
    </w:p>
    <w:p>
      <w:pPr>
        <w:pStyle w:val="Normal"/>
        <w:rPr/>
      </w:pPr>
      <w:r>
        <w:rPr/>
        <w:t>Segona.- La persona comodant declara que els béns entregats són de la seua propietat i que estan lliures de càrregues, gravàmens i deutes.</w:t>
      </w:r>
    </w:p>
    <w:p>
      <w:pPr>
        <w:pStyle w:val="Normal"/>
        <w:rPr/>
      </w:pPr>
      <w:r>
        <w:rPr/>
        <w:t>Tercera.- La constitució d'aquest comodat no reportarà cap mena de contraprestació, sent per la seua pròpia naturalesa gratuït.</w:t>
      </w:r>
    </w:p>
    <w:p>
      <w:pPr>
        <w:pStyle w:val="Normal"/>
        <w:rPr/>
      </w:pPr>
      <w:r>
        <w:rPr/>
        <w:t>Quarta.- La persona comodant autoritza l’IVC a usar el material entregat únicament per als fins indicats en el contracte actual. L’IVC no permetrà l'ús per terceres persones del material entregat, excepte autorització expressa i escrita de la persona comodant.</w:t>
      </w:r>
    </w:p>
    <w:p>
      <w:pPr>
        <w:pStyle w:val="Normal"/>
        <w:rPr/>
      </w:pPr>
      <w:r>
        <w:rPr/>
        <w:t>Quinta.- L’IVC, a través de la Direcció Adjunta de Cinematografia i Audiovisuals, es compromet a custodiar degudament el material entregat, a adoptar les mesures oportunes per a la seua correcta conservació i a restituir-lo quan li siga demanat per la persona comodant.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Així mateix, l’IVC es compromet a entregar a la persona comodant una còpia del material depositat en suport digital reproduïble en l'àmbit domèstic en el menor termini possible, sempre que el seu contingut justifique la reproducció pel seu interés social, històric o cultural.</w:t>
      </w:r>
    </w:p>
    <w:p>
      <w:pPr>
        <w:pStyle w:val="Normal"/>
        <w:rPr/>
      </w:pPr>
      <w:r>
        <w:rPr/>
        <w:t>Sisena.- L’IVC podrà obtindre còpies del material entregat amb finalitats exclusivament d'investigació, estudi, conservació i exposició que estimara convenients.</w:t>
      </w:r>
    </w:p>
    <w:p>
      <w:pPr>
        <w:pStyle w:val="Normal"/>
        <w:rPr/>
      </w:pPr>
      <w:r>
        <w:rPr/>
        <w:t>Setena.- L’IVC es farà càrrec de les despeses ordinàries que siguen de necessitat per a l'ús i conservació de la cosa prestada.</w:t>
      </w:r>
    </w:p>
    <w:p>
      <w:pPr>
        <w:pStyle w:val="Normal"/>
        <w:rPr/>
      </w:pPr>
      <w:r>
        <w:rPr/>
        <w:t xml:space="preserve">Octava.- L’IVC no respon del deteriorament que sobrevinga al material entregat pel sol efecte de l'ús i sense culpa seua. </w:t>
      </w:r>
    </w:p>
    <w:p>
      <w:pPr>
        <w:pStyle w:val="Normal"/>
        <w:rPr/>
      </w:pPr>
      <w:r>
        <w:rPr/>
        <w:t>En cap cas, l’IVC serà responsable dels desperfectes o deteriorament que puga patir el material entregat per supòsits de força major i per aquells successos que no hagueren pogut preveure's, o que previstos, foren inevitables, d'acord amb el que es preveu en l'article 1105 del Codi Civil.</w:t>
      </w:r>
    </w:p>
    <w:p>
      <w:pPr>
        <w:pStyle w:val="Normal"/>
        <w:rPr/>
      </w:pPr>
      <w:r>
        <w:rPr/>
        <w:t>Novena.- El contracte actual es perfecciona en el moment en què es faça lliurament del material cinematogràfic o videogràfic i s'extingirà quan siga retirat o es consigne judicialment.</w:t>
      </w:r>
    </w:p>
    <w:p>
      <w:pPr>
        <w:pStyle w:val="Normal"/>
        <w:rPr/>
      </w:pPr>
      <w:r>
        <w:rPr/>
        <w:t>Dècima.- En el cas que la persona comodant reclamara la devolució dels seus béns, ho notificarà a l’IVC per escrit, estant obligat l’IVC a la seua devolució dins dels seixanta dies següents a la data de la seua notificació. El mateix procediment se seguirà en el cas que, per qualsevol motiu, l’IVC decidisca restituir per la seua iniciativa el ben entregat.</w:t>
      </w:r>
    </w:p>
    <w:p>
      <w:pPr>
        <w:pStyle w:val="Normal"/>
        <w:rPr/>
      </w:pPr>
      <w:r>
        <w:rPr/>
        <w:t>Onzena.- L’IVC no serà en cap cas responsable de l'ús que puga fer-se del material una vegada haja sigut aquest retornat, de manera temporal o definitivament.</w:t>
      </w:r>
    </w:p>
    <w:p>
      <w:pPr>
        <w:pStyle w:val="Normal"/>
        <w:rPr/>
      </w:pPr>
      <w:r>
        <w:rPr/>
        <w:t>Dotzena.- Aquest contracte es regirà, per a quant no quede expressament regulat en aquest, pel que es disposa en el Codi Civil, articles 1741 a 1752, i en el seu cas, per la restant legislació vigent.</w:t>
      </w:r>
    </w:p>
    <w:p>
      <w:pPr>
        <w:pStyle w:val="Normal"/>
        <w:rPr/>
      </w:pPr>
      <w:r>
        <w:rPr/>
        <w:t>Per a qualsevol controvèrsia que poguera sorgir de la interpretació o execució del contracte actual les parts se sotmeten expressament als Jutjats i Tribunals de la ciutat de València, renunciant a qualsevol altre fur que poguera correspondre'ls.</w:t>
      </w:r>
    </w:p>
    <w:p>
      <w:pPr>
        <w:pStyle w:val="Normal"/>
        <w:rPr/>
      </w:pPr>
      <w:r>
        <w:rPr/>
        <w:t>Llegit íntegrament aquest contracte per totes dues parts, queden assabentats d'ell, l'accepten i en prova de conformitat el subscriuen per duplicat i a un sol efecte, en el lloc i data indicats en l'encapçalament.</w:t>
      </w:r>
    </w:p>
    <w:p>
      <w:pPr>
        <w:pStyle w:val="Normal"/>
        <w:rPr/>
      </w:pPr>
      <w:r>
        <w:rPr/>
        <w:t>LA PERSONA COMODANT                               PER L’INSTITUT VALENCIÀ DE CULTURA</w:t>
      </w:r>
    </w:p>
    <w:p>
      <w:pPr>
        <w:pStyle w:val="Normal"/>
        <w:rPr/>
      </w:pPr>
      <w:r>
        <w:rPr/>
      </w:r>
    </w:p>
    <w:p>
      <w:pPr>
        <w:pStyle w:val="Normal"/>
        <w:rPr/>
      </w:pPr>
      <w:r>
        <w:rPr/>
        <w:t>Manuel Casado Puche                                      Abelardo Guarinos Viñoles</w:t>
      </w:r>
    </w:p>
    <w:p>
      <w:pPr>
        <w:pStyle w:val="Normal"/>
        <w:rPr/>
      </w:pPr>
      <w:r>
        <w:rPr/>
        <w:t>Regidor Cultura i Patrimoni                             Director General</w:t>
      </w:r>
    </w:p>
    <w:p>
      <w:pPr>
        <w:pStyle w:val="Normal"/>
        <w:rPr/>
      </w:pPr>
      <w:r>
        <w:rPr/>
        <w:t>Ajuntament de l’Alfàs del Pi</w:t>
      </w:r>
    </w:p>
    <w:p>
      <w:pPr>
        <w:pStyle w:val="Normal"/>
        <w:rPr/>
      </w:pPr>
      <w:r>
        <w:rPr/>
      </w:r>
    </w:p>
    <w:p>
      <w:pPr>
        <w:pStyle w:val="Normal"/>
        <w:rPr>
          <w:b/>
          <w:b/>
        </w:rPr>
      </w:pPr>
      <w:r>
        <w:rPr>
          <w:b/>
        </w:rPr>
        <w:t>ANNEX AL CONTRACTE DE COMODAT DE MATERIAL CINEMATOGRÀFIC O VIDEOGRÀFIC EFECTUAT PER MANUEL CASADO PUCHE EN REPRESENTACIÓ DE L’AJUNTAMENT DE L’ALFÀS DEL PI A FAVOR DE L’ INSTITUT VALENCIÀ DE CULTURA</w:t>
      </w:r>
    </w:p>
    <w:tbl>
      <w:tblPr>
        <w:tblW w:w="4325" w:type="dxa"/>
        <w:jc w:val="left"/>
        <w:tblInd w:w="0" w:type="dxa"/>
        <w:tblBorders/>
        <w:tblCellMar>
          <w:top w:w="15" w:type="dxa"/>
          <w:left w:w="15" w:type="dxa"/>
          <w:bottom w:w="15" w:type="dxa"/>
          <w:right w:w="15" w:type="dxa"/>
        </w:tblCellMar>
        <w:tblLook w:firstRow="1" w:noVBand="1" w:lastRow="0" w:firstColumn="1" w:lastColumn="0" w:noHBand="0" w:val="04a0"/>
      </w:tblPr>
      <w:tblGrid>
        <w:gridCol w:w="4325"/>
      </w:tblGrid>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BAMBOLEHO</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NANA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[CABECERAS FESTIVAL CINE L' ALFAS DEL PI]</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MIS AMIGOS (ESPERANDO A TATO)</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VIDA SIEMPRE ES CORTA, LA (2 copias)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DOMINGO TARDE</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EXPO X</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MADRES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CULPA DEL ALPINISTA, LA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HORAS MUERTAS, LAS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DIAS SIN LUZ</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PENILOVE</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HOTEL OASIS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BIG WENDY</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MAMBRU</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A LA ALTURA DE LOS OJOS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QUIEN MAL ANDA MAL ACABA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DARDOS DEL AMOR, LOS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CENA, LA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DESIRE</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TO BLOW ONE’S BRAINS OUT</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GUERRA, LA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MEJOR NO HABLES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ALLANAMIENTO DE MORADA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REINO DE VICTOR, EL</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PUZZLE, EL</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LUZ ENCENDIDA, UNA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DIENTE POR OJO</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SINTONIA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SUEÑOS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LABERINTO DE SIMONE, EL</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PALOS DE CIEGO AMOR</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POMOC</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MIENTE</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PARAISOS ARTIFICIALES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UN, DOS, TRES, TAXI</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9´8 M/S2</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SOLO AMOR</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15 DIAS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PADAM...</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BAILONGAS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ESPOSADOS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HISTORIA DE UN BUHO</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ADIOS TOBY, ADIOS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TERESA Y VANESA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HUNTZA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CAMPEONES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VIUDA NEGRA, LA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POLLO QUE SE MUERDE LA COLA, EL</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TRAUMALOGIA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EN MALAS COMPAÑIAS</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SUEÑO DEL CARACOL, EL</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7:35 DE LA MAÑANA</w:t>
            </w:r>
          </w:p>
        </w:tc>
      </w:tr>
      <w:tr>
        <w:trPr/>
        <w:tc>
          <w:tcPr>
            <w:tcW w:w="4325" w:type="dxa"/>
            <w:tcBorders/>
            <w:shd w:fill="auto" w:val="clear"/>
          </w:tcPr>
          <w:p>
            <w:pPr>
              <w:pStyle w:val="Normal"/>
              <w:spacing w:lineRule="auto" w:line="240" w:before="0" w:after="0"/>
              <w:rPr>
                <w:rFonts w:eastAsia="Times New Roman" w:cs="Calibri" w:cstheme="minorHAnsi"/>
                <w:sz w:val="24"/>
                <w:szCs w:val="24"/>
                <w:lang w:eastAsia="es-ES"/>
              </w:rPr>
            </w:pPr>
            <w:r>
              <w:rPr>
                <w:rFonts w:eastAsia="Times New Roman" w:cs="Calibri" w:cstheme="minorHAnsi"/>
                <w:sz w:val="24"/>
                <w:szCs w:val="24"/>
                <w:lang w:eastAsia="es-ES"/>
              </w:rPr>
              <w:t>CAZADORES</w:t>
            </w:r>
          </w:p>
        </w:tc>
      </w:tr>
    </w:tbl>
    <w:p>
      <w:pPr>
        <w:pStyle w:val="Normal"/>
        <w:rPr/>
      </w:pPr>
      <w:r>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 w:val="right" w:pos="9000" w:leader="none"/>
      </w:tabs>
      <w:ind w:right="71" w:hanging="0"/>
      <w:jc w:val="center"/>
      <w:rPr>
        <w:rFonts w:ascii="Calibri" w:hAnsi="Calibri" w:cs="Calibri"/>
        <w:b/>
        <w:b/>
        <w:bCs/>
        <w:color w:val="5F5F5F"/>
        <w:sz w:val="16"/>
        <w:szCs w:val="16"/>
      </w:rPr>
    </w:pPr>
    <w:r>
      <w:rPr>
        <w:rFonts w:cs="Calibri"/>
        <w:b/>
        <w:bCs/>
        <w:color w:val="5F5F5F"/>
        <w:sz w:val="16"/>
        <w:szCs w:val="16"/>
      </w:rPr>
      <w:t xml:space="preserve">Plaça de l’Ajuntament, 17 ·  46002  València ·  Tel (+34) 963 539 300 </w:t>
    </w:r>
  </w:p>
  <w:p>
    <w:pPr>
      <w:pStyle w:val="Piedepgina"/>
      <w:tabs>
        <w:tab w:val="left" w:pos="3168" w:leader="none"/>
      </w:tabs>
      <w:ind w:right="71" w:hanging="0"/>
      <w:rPr>
        <w:rFonts w:ascii="Calibri" w:hAnsi="Calibri" w:cs="Calibri"/>
        <w:b/>
        <w:b/>
        <w:bCs/>
        <w:color w:val="5F5F5F"/>
        <w:sz w:val="16"/>
        <w:szCs w:val="16"/>
      </w:rPr>
    </w:pPr>
    <w:r>
      <w:rPr>
        <w:rFonts w:cs="Calibri"/>
        <w:b/>
        <w:bCs/>
        <w:color w:val="5F5F5F"/>
        <w:sz w:val="16"/>
        <w:szCs w:val="16"/>
      </w:rPr>
      <w:tab/>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pPr>
    <w:r>
      <w:rPr/>
      <w:drawing>
        <wp:inline distT="0" distB="7620" distL="0" distR="0">
          <wp:extent cx="2787650" cy="716280"/>
          <wp:effectExtent l="0" t="0" r="0" b="0"/>
          <wp:docPr id="1" name="Imagen 2" descr="C:\Users\msos\Documents\logos\LOGOS- JUNY 2019\logo ivc+gva\CECE + 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Users\msos\Documents\logos\LOGOS- JUNY 2019\logo ivc+gva\CECE + IVC.png"/>
                  <pic:cNvPicPr>
                    <a:picLocks noChangeAspect="1" noChangeArrowheads="1"/>
                  </pic:cNvPicPr>
                </pic:nvPicPr>
                <pic:blipFill>
                  <a:blip r:embed="rId1"/>
                  <a:stretch>
                    <a:fillRect/>
                  </a:stretch>
                </pic:blipFill>
                <pic:spPr bwMode="auto">
                  <a:xfrm>
                    <a:off x="0" y="0"/>
                    <a:ext cx="2787650" cy="7162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2"/>
        <w:b w:val="false"/>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73dde"/>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Normal"/>
    <w:link w:val="Ttulo3Car"/>
    <w:uiPriority w:val="9"/>
    <w:qFormat/>
    <w:rsid w:val="007f08d2"/>
    <w:pPr>
      <w:spacing w:lineRule="auto" w:line="240" w:before="0" w:after="0"/>
      <w:outlineLvl w:val="2"/>
    </w:pPr>
    <w:rPr>
      <w:rFonts w:ascii="Times New Roman" w:hAnsi="Times New Roman" w:eastAsia="Times New Roman" w:cs="Times New Roman"/>
      <w:b/>
      <w:bCs/>
      <w:color w:val="000000"/>
      <w:sz w:val="27"/>
      <w:szCs w:val="27"/>
      <w:lang w:eastAsia="es-ES"/>
    </w:rPr>
  </w:style>
  <w:style w:type="paragraph" w:styleId="Encabezado5">
    <w:name w:val="Encabezado 5"/>
    <w:basedOn w:val="Normal"/>
    <w:link w:val="Ttulo5Car"/>
    <w:uiPriority w:val="9"/>
    <w:qFormat/>
    <w:rsid w:val="007f08d2"/>
    <w:pPr>
      <w:spacing w:lineRule="auto" w:line="240" w:before="0" w:after="0"/>
      <w:jc w:val="both"/>
      <w:outlineLvl w:val="4"/>
    </w:pPr>
    <w:rPr>
      <w:rFonts w:ascii="Times New Roman" w:hAnsi="Times New Roman" w:eastAsia="Times New Roman" w:cs="Times New Roman"/>
      <w:b/>
      <w:bCs/>
      <w:color w:val="000000"/>
      <w:sz w:val="20"/>
      <w:szCs w:val="20"/>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e60a14"/>
    <w:rPr/>
  </w:style>
  <w:style w:type="character" w:styleId="PiedepginaCar" w:customStyle="1">
    <w:name w:val="Pie de página Car"/>
    <w:basedOn w:val="DefaultParagraphFont"/>
    <w:link w:val="Piedepgina"/>
    <w:uiPriority w:val="99"/>
    <w:qFormat/>
    <w:rsid w:val="00e60a14"/>
    <w:rPr/>
  </w:style>
  <w:style w:type="character" w:styleId="Ttulo3Car" w:customStyle="1">
    <w:name w:val="Título 3 Car"/>
    <w:basedOn w:val="DefaultParagraphFont"/>
    <w:link w:val="Ttulo3"/>
    <w:uiPriority w:val="9"/>
    <w:qFormat/>
    <w:rsid w:val="007f08d2"/>
    <w:rPr>
      <w:rFonts w:ascii="Times New Roman" w:hAnsi="Times New Roman" w:eastAsia="Times New Roman" w:cs="Times New Roman"/>
      <w:b/>
      <w:bCs/>
      <w:color w:val="000000"/>
      <w:sz w:val="27"/>
      <w:szCs w:val="27"/>
      <w:lang w:eastAsia="es-ES"/>
    </w:rPr>
  </w:style>
  <w:style w:type="character" w:styleId="Ttulo5Car" w:customStyle="1">
    <w:name w:val="Título 5 Car"/>
    <w:basedOn w:val="DefaultParagraphFont"/>
    <w:link w:val="Ttulo5"/>
    <w:uiPriority w:val="9"/>
    <w:qFormat/>
    <w:rsid w:val="007f08d2"/>
    <w:rPr>
      <w:rFonts w:ascii="Times New Roman" w:hAnsi="Times New Roman" w:eastAsia="Times New Roman" w:cs="Times New Roman"/>
      <w:b/>
      <w:bCs/>
      <w:color w:val="000000"/>
      <w:sz w:val="20"/>
      <w:szCs w:val="20"/>
      <w:lang w:eastAsia="es-ES"/>
    </w:rPr>
  </w:style>
  <w:style w:type="character" w:styleId="EnlacedeInternet">
    <w:name w:val="Enlace de Internet"/>
    <w:basedOn w:val="DefaultParagraphFont"/>
    <w:uiPriority w:val="99"/>
    <w:semiHidden/>
    <w:unhideWhenUsed/>
    <w:rsid w:val="007f08d2"/>
    <w:rPr>
      <w:color w:val="0000FF"/>
      <w:u w:val="single"/>
    </w:rPr>
  </w:style>
  <w:style w:type="character" w:styleId="TextodegloboCar" w:customStyle="1">
    <w:name w:val="Texto de globo Car"/>
    <w:basedOn w:val="DefaultParagraphFont"/>
    <w:link w:val="Textodeglobo"/>
    <w:uiPriority w:val="99"/>
    <w:semiHidden/>
    <w:qFormat/>
    <w:rsid w:val="00823933"/>
    <w:rPr>
      <w:rFonts w:ascii="Segoe UI" w:hAnsi="Segoe UI" w:cs="Segoe UI"/>
      <w:sz w:val="18"/>
      <w:szCs w:val="18"/>
    </w:rPr>
  </w:style>
  <w:style w:type="character" w:styleId="ListLabel1">
    <w:name w:val="ListLabel 1"/>
    <w:qFormat/>
    <w:rPr>
      <w:rFonts w:ascii="Arial" w:hAnsi="Arial" w:eastAsia="Times New Roman" w:cs="Calibri"/>
      <w:b w:val="false"/>
      <w:sz w:val="22"/>
    </w:rPr>
  </w:style>
  <w:style w:type="character" w:styleId="ListLabel2">
    <w:name w:val="ListLabel 2"/>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Leyenda">
    <w:name w:val="Leyenda"/>
    <w:basedOn w:val="Normal"/>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Encabezamiento">
    <w:name w:val="Encabezamiento"/>
    <w:basedOn w:val="Normal"/>
    <w:link w:val="EncabezadoCar"/>
    <w:uiPriority w:val="99"/>
    <w:unhideWhenUsed/>
    <w:rsid w:val="00e60a14"/>
    <w:pPr>
      <w:tabs>
        <w:tab w:val="center" w:pos="4252" w:leader="none"/>
        <w:tab w:val="right" w:pos="8504" w:leader="none"/>
      </w:tabs>
      <w:spacing w:lineRule="auto" w:line="240" w:before="0" w:after="0"/>
    </w:pPr>
    <w:rPr/>
  </w:style>
  <w:style w:type="paragraph" w:styleId="Piedepgina">
    <w:name w:val="Pie de página"/>
    <w:basedOn w:val="Normal"/>
    <w:link w:val="PiedepginaCar"/>
    <w:unhideWhenUsed/>
    <w:rsid w:val="00e60a14"/>
    <w:pPr>
      <w:tabs>
        <w:tab w:val="center" w:pos="4252" w:leader="none"/>
        <w:tab w:val="right" w:pos="8504" w:leader="none"/>
      </w:tabs>
      <w:spacing w:lineRule="auto" w:line="240" w:before="0" w:after="0"/>
    </w:pPr>
    <w:rPr/>
  </w:style>
  <w:style w:type="paragraph" w:styleId="Western" w:customStyle="1">
    <w:name w:val="western"/>
    <w:basedOn w:val="Normal"/>
    <w:qFormat/>
    <w:rsid w:val="007f08d2"/>
    <w:pPr>
      <w:spacing w:lineRule="auto" w:line="240" w:beforeAutospacing="1" w:after="0"/>
    </w:pPr>
    <w:rPr>
      <w:rFonts w:ascii="Times New Roman" w:hAnsi="Times New Roman" w:eastAsia="Times New Roman" w:cs="Times New Roman"/>
      <w:color w:val="000000"/>
      <w:lang w:eastAsia="es-ES"/>
    </w:rPr>
  </w:style>
  <w:style w:type="paragraph" w:styleId="BalloonText">
    <w:name w:val="Balloon Text"/>
    <w:basedOn w:val="Normal"/>
    <w:link w:val="TextodegloboCar"/>
    <w:uiPriority w:val="99"/>
    <w:semiHidden/>
    <w:unhideWhenUsed/>
    <w:qFormat/>
    <w:rsid w:val="00823933"/>
    <w:pPr>
      <w:spacing w:lineRule="auto" w:line="240" w:before="0" w:after="0"/>
    </w:pPr>
    <w:rPr>
      <w:rFonts w:ascii="Segoe UI" w:hAnsi="Segoe UI" w:cs="Segoe UI"/>
      <w:sz w:val="18"/>
      <w:szCs w:val="18"/>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LibreOffice/5.0.0.4$Windows_x86 LibreOffice_project/cf112dc905650fb985306a7a03d2fe3fcc6c978f</Application>
  <Paragraphs>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2023-05-03T10:50:00Z</dcterms:created>
  <dc:creator>Maite Sos Herranz</dc:creator>
  <dc:language>es-ES</dc:language>
  <cp:lastModifiedBy>itrull</cp:lastModifiedBy>
  <cp:lastPrinted>2023-01-25T09:26:00Z</cp:lastPrinted>
  <dcterms:modified xsi:type="dcterms:W3CDTF">2023-05-03T10:53:00Z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